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framePr w:w="9034" w:h="979" w:wrap="auto" w:vAnchor="margin" w:hAnchor="page" w:x="1294" w:y="1"/>
        <w:widowControl w:val="0"/>
        <w:pBdr>
          <w:bottom w:val="single" w:color="auto" w:sz="4" w:space="0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2"/>
      <w:bookmarkStart w:id="2" w:name="bookmark1"/>
      <w:r>
        <w:rPr>
          <w:spacing w:val="0"/>
          <w:w w:val="100"/>
          <w:position w:val="0"/>
        </w:rPr>
        <w:t>福建省药品监督管理局</w:t>
      </w:r>
      <w:bookmarkEnd w:id="0"/>
      <w:bookmarkEnd w:id="1"/>
      <w:bookmarkEnd w:id="2"/>
    </w:p>
    <w:p>
      <w:pPr>
        <w:pStyle w:val="7"/>
        <w:keepNext w:val="0"/>
        <w:keepLines w:val="0"/>
        <w:framePr w:w="360" w:h="365" w:wrap="auto" w:vAnchor="margin" w:hAnchor="page" w:x="6080" w:y="5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III</w:t>
      </w:r>
    </w:p>
    <w:p>
      <w:pPr>
        <w:widowControl w:val="0"/>
        <w:spacing w:line="360" w:lineRule="exact"/>
      </w:pPr>
    </w:p>
    <w:p>
      <w:pPr>
        <w:widowControl w:val="0"/>
        <w:spacing w:after="618" w:line="1" w:lineRule="exact"/>
      </w:pPr>
    </w:p>
    <w:p>
      <w:pPr>
        <w:widowControl w:val="0"/>
        <w:spacing w:line="1" w:lineRule="exact"/>
        <w:sectPr>
          <w:footerReference r:id="rId7" w:type="first"/>
          <w:footerReference r:id="rId5" w:type="default"/>
          <w:footerReference r:id="rId6" w:type="even"/>
          <w:footnotePr>
            <w:numFmt w:val="decimal"/>
          </w:footnotePr>
          <w:pgSz w:w="11900" w:h="16840"/>
          <w:pgMar w:top="1509" w:right="1449" w:bottom="1601" w:left="1183" w:header="0" w:footer="3" w:gutter="0"/>
          <w:pgNumType w:start="1"/>
          <w:cols w:space="720" w:num="1"/>
          <w:titlePg/>
          <w:rtlGutter w:val="0"/>
          <w:docGrid w:linePitch="360" w:charSpace="0"/>
        </w:sectPr>
      </w:pPr>
    </w:p>
    <w:p>
      <w:pPr>
        <w:widowControl w:val="0"/>
        <w:spacing w:before="119" w:after="1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numFmt w:val="decimal"/>
          </w:footnotePr>
          <w:type w:val="continuous"/>
          <w:pgSz w:w="11900" w:h="16840"/>
          <w:pgMar w:top="1469" w:right="0" w:bottom="1626" w:left="0" w:header="0" w:footer="3" w:gutter="0"/>
          <w:cols w:space="720" w:num="1"/>
          <w:rtlGutter w:val="0"/>
          <w:docGrid w:linePitch="360" w:charSpace="0"/>
        </w:sectPr>
      </w:pP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600" w:line="565" w:lineRule="exact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闽药监器械函（2021 ） 139号</w:t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>福建省药品监督管理局关于进一步深化医疗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器械审评审批机制改革促进产业高质量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发展的意见（试行）</w:t>
      </w:r>
      <w:bookmarkEnd w:id="3"/>
      <w:bookmarkEnd w:id="4"/>
      <w:bookmarkEnd w:id="5"/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各设区市、平潭综合实验区市场监督管理局，省局机关各处室， 各直属单位：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65" w:lineRule="exact"/>
        <w:ind w:left="0" w:right="0" w:firstLine="680"/>
        <w:jc w:val="both"/>
      </w:pPr>
      <w:r>
        <w:rPr>
          <w:color w:val="000000"/>
          <w:spacing w:val="0"/>
          <w:w w:val="100"/>
          <w:position w:val="0"/>
        </w:rPr>
        <w:t>为深入贯彻国务院新修订的《医疗器械监督管理条例》（国务 院令第739号）（以下简称《条例》）和国务院办公厅《关于全面 加强药品监管能力建设的实施意见》（国办发〔2021〕16号）精神, 认真落实省委关于学习习近平总书记在福建考察时的重要讲话精 神和省政府办公厅《关于印发进一步优化营商环境更好服务市场 主体实施方案的通知》（闽政办〔 2021〕4号）要求，省局结合我 省医疗器械产业发展的实际，出台了《关于进一步深化医疗器械 审评审批机制改革促进产业高质量发展的意见（试行）》，自发文 之日起试行。试行期间，国家药监局如有新政策，从其规定。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65" w:lineRule="exact"/>
        <w:ind w:left="0" w:right="0" w:firstLine="680"/>
        <w:jc w:val="both"/>
      </w:pPr>
      <w:r>
        <w:rPr>
          <w:b/>
          <w:bCs/>
          <w:color w:val="000000"/>
          <w:spacing w:val="0"/>
          <w:w w:val="100"/>
          <w:position w:val="0"/>
        </w:rPr>
        <w:t>一'优化审评审批流程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65" w:lineRule="exact"/>
        <w:ind w:left="0" w:right="0" w:firstLine="800"/>
        <w:jc w:val="both"/>
      </w:pPr>
      <w:r>
        <w:rPr>
          <w:b/>
          <w:bCs/>
          <w:color w:val="000000"/>
          <w:spacing w:val="0"/>
          <w:w w:val="100"/>
          <w:position w:val="0"/>
        </w:rPr>
        <w:t>（一）部分许可事项加速办理。</w:t>
      </w:r>
      <w:r>
        <w:rPr>
          <w:color w:val="000000"/>
          <w:spacing w:val="0"/>
          <w:w w:val="100"/>
          <w:position w:val="0"/>
        </w:rPr>
        <w:t>一年内已通过医疗器械产品 全项目现场检查，且生产体系未发生变化的生产许可（含核发、 变更）申请，医疗器械生产许可证书有效期即将届满需办理延续 的申请事项，且证书效期内未发生严重违法违规行为的，依法向 省局提交申请和相关资料并作出持续符合许可条件的自查承诺报 告后，可免于现场检查，审批时限在现在基础上再压缩50% （即达 到法定时限的25%）。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620"/>
        </w:tabs>
        <w:bidi w:val="0"/>
        <w:spacing w:before="0" w:after="0" w:line="565" w:lineRule="exact"/>
        <w:ind w:left="0" w:right="0" w:firstLine="840"/>
        <w:jc w:val="both"/>
      </w:pPr>
      <w:bookmarkStart w:id="6" w:name="bookmark6"/>
      <w:r>
        <w:rPr>
          <w:b/>
          <w:bCs/>
          <w:color w:val="000000"/>
          <w:spacing w:val="0"/>
          <w:w w:val="100"/>
          <w:position w:val="0"/>
        </w:rPr>
        <w:t>（</w:t>
      </w:r>
      <w:bookmarkEnd w:id="6"/>
      <w:r>
        <w:rPr>
          <w:b/>
          <w:bCs/>
          <w:color w:val="000000"/>
          <w:spacing w:val="0"/>
          <w:w w:val="100"/>
          <w:position w:val="0"/>
        </w:rPr>
        <w:t>二）</w:t>
      </w:r>
      <w:r>
        <w:rPr>
          <w:b/>
          <w:bCs/>
          <w:color w:val="000000"/>
          <w:spacing w:val="0"/>
          <w:w w:val="100"/>
          <w:position w:val="0"/>
        </w:rPr>
        <w:tab/>
      </w:r>
      <w:r>
        <w:rPr>
          <w:b/>
          <w:bCs/>
          <w:color w:val="000000"/>
          <w:spacing w:val="0"/>
          <w:w w:val="100"/>
          <w:position w:val="0"/>
        </w:rPr>
        <w:t>简化整改后现场复查程序。</w:t>
      </w:r>
      <w:r>
        <w:rPr>
          <w:color w:val="000000"/>
          <w:spacing w:val="0"/>
          <w:w w:val="100"/>
          <w:position w:val="0"/>
        </w:rPr>
        <w:t>对于现场检查结果为整改 后复查的，强化企业主体责任，原则上实施书面审查，符合要求 的通过检查。如书面审查发现确需现场复查的，交由企业所在地 的省局派出机构（药品稽查办公室）进行现场复核。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620"/>
        </w:tabs>
        <w:bidi w:val="0"/>
        <w:spacing w:before="0" w:after="0" w:line="565" w:lineRule="exact"/>
        <w:ind w:left="0" w:right="0" w:firstLine="840"/>
        <w:jc w:val="both"/>
      </w:pPr>
      <w:bookmarkStart w:id="7" w:name="bookmark7"/>
      <w:r>
        <w:rPr>
          <w:b/>
          <w:bCs/>
          <w:color w:val="000000"/>
          <w:spacing w:val="0"/>
          <w:w w:val="100"/>
          <w:position w:val="0"/>
        </w:rPr>
        <w:t>（</w:t>
      </w:r>
      <w:bookmarkEnd w:id="7"/>
      <w:r>
        <w:rPr>
          <w:b/>
          <w:bCs/>
          <w:color w:val="000000"/>
          <w:spacing w:val="0"/>
          <w:w w:val="100"/>
          <w:position w:val="0"/>
        </w:rPr>
        <w:t>三）</w:t>
      </w:r>
      <w:r>
        <w:rPr>
          <w:b/>
          <w:bCs/>
          <w:color w:val="000000"/>
          <w:spacing w:val="0"/>
          <w:w w:val="100"/>
          <w:position w:val="0"/>
        </w:rPr>
        <w:tab/>
      </w:r>
      <w:r>
        <w:rPr>
          <w:b/>
          <w:bCs/>
          <w:color w:val="000000"/>
          <w:spacing w:val="0"/>
          <w:w w:val="100"/>
          <w:position w:val="0"/>
        </w:rPr>
        <w:t>调整部分事项流程。</w:t>
      </w:r>
      <w:r>
        <w:rPr>
          <w:color w:val="000000"/>
          <w:spacing w:val="0"/>
          <w:w w:val="100"/>
          <w:position w:val="0"/>
          <w:lang w:val="en-US" w:eastAsia="en-US" w:bidi="en-US"/>
        </w:rPr>
        <w:t>1.</w:t>
      </w:r>
      <w:r>
        <w:rPr>
          <w:color w:val="000000"/>
          <w:spacing w:val="0"/>
          <w:w w:val="100"/>
          <w:position w:val="0"/>
        </w:rPr>
        <w:t>医疗器械产品注册体系核查与 生产许可可同时申报、合并检查。2.注册人产品注册（体系核查） 与受托生产企业生产许可证核发可同时申请。</w:t>
      </w:r>
      <w:r>
        <w:rPr>
          <w:color w:val="000000"/>
          <w:spacing w:val="0"/>
          <w:w w:val="100"/>
          <w:position w:val="0"/>
          <w:lang w:val="en-US" w:eastAsia="en-US" w:bidi="en-US"/>
        </w:rPr>
        <w:t>3.</w:t>
      </w:r>
      <w:r>
        <w:rPr>
          <w:color w:val="000000"/>
          <w:spacing w:val="0"/>
          <w:w w:val="100"/>
          <w:position w:val="0"/>
        </w:rPr>
        <w:t>生产许可证延续 及变更申请，需要现场检查的，由企业所在地的省局派出机构直 接受理，开展现场检查并作出综合审查结论后报省局注册与审批 处。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65" w:lineRule="exact"/>
        <w:ind w:left="0" w:right="0" w:firstLine="700"/>
        <w:jc w:val="both"/>
      </w:pPr>
      <w:r>
        <w:rPr>
          <w:b/>
          <w:bCs/>
          <w:color w:val="000000"/>
          <w:spacing w:val="0"/>
          <w:w w:val="100"/>
          <w:position w:val="0"/>
        </w:rPr>
        <w:t>二、优化审批机制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620"/>
        </w:tabs>
        <w:bidi w:val="0"/>
        <w:spacing w:before="0" w:after="0" w:line="570" w:lineRule="exact"/>
        <w:ind w:left="0" w:right="0" w:firstLine="840"/>
        <w:jc w:val="both"/>
      </w:pPr>
      <w:bookmarkStart w:id="8" w:name="bookmark8"/>
      <w:r>
        <w:rPr>
          <w:b/>
          <w:bCs/>
          <w:color w:val="000000"/>
          <w:spacing w:val="0"/>
          <w:w w:val="100"/>
          <w:position w:val="0"/>
        </w:rPr>
        <w:t>（</w:t>
      </w:r>
      <w:bookmarkEnd w:id="8"/>
      <w:r>
        <w:rPr>
          <w:b/>
          <w:bCs/>
          <w:color w:val="000000"/>
          <w:spacing w:val="0"/>
          <w:w w:val="100"/>
          <w:position w:val="0"/>
        </w:rPr>
        <w:t>四）</w:t>
      </w:r>
      <w:r>
        <w:rPr>
          <w:b/>
          <w:bCs/>
          <w:color w:val="000000"/>
          <w:spacing w:val="0"/>
          <w:w w:val="100"/>
          <w:position w:val="0"/>
        </w:rPr>
        <w:tab/>
      </w:r>
      <w:r>
        <w:rPr>
          <w:b/>
          <w:bCs/>
          <w:color w:val="000000"/>
          <w:spacing w:val="0"/>
          <w:w w:val="100"/>
          <w:position w:val="0"/>
        </w:rPr>
        <w:t>强化审评审批会商机制。</w:t>
      </w:r>
      <w:r>
        <w:rPr>
          <w:color w:val="000000"/>
          <w:spacing w:val="0"/>
          <w:w w:val="100"/>
          <w:position w:val="0"/>
        </w:rPr>
        <w:t>审评审批过程中如涉及复杂 问题、重点难点问题、标准模糊问题，由省局医疗器械监管处启 动审评审批会商协调机制，及时组织研究予以解决。对于治疗严 重危及生命尚无有效治疗手段疾病以及公共卫生方面等急需的医 疗器械，实行附条件审批，具体附条件审批项目需根据具体产品 及申报资料会商研究决定。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620"/>
        </w:tabs>
        <w:bidi w:val="0"/>
        <w:spacing w:before="0" w:after="0" w:line="574" w:lineRule="exact"/>
        <w:ind w:left="0" w:right="0" w:firstLine="840"/>
        <w:jc w:val="both"/>
      </w:pPr>
      <w:bookmarkStart w:id="9" w:name="bookmark9"/>
      <w:r>
        <w:rPr>
          <w:b/>
          <w:bCs/>
          <w:color w:val="000000"/>
          <w:spacing w:val="0"/>
          <w:w w:val="100"/>
          <w:position w:val="0"/>
        </w:rPr>
        <w:t>（</w:t>
      </w:r>
      <w:bookmarkEnd w:id="9"/>
      <w:r>
        <w:rPr>
          <w:b/>
          <w:bCs/>
          <w:color w:val="000000"/>
          <w:spacing w:val="0"/>
          <w:w w:val="100"/>
          <w:position w:val="0"/>
        </w:rPr>
        <w:t>五）</w:t>
      </w:r>
      <w:r>
        <w:rPr>
          <w:b/>
          <w:bCs/>
          <w:color w:val="000000"/>
          <w:spacing w:val="0"/>
          <w:w w:val="100"/>
          <w:position w:val="0"/>
        </w:rPr>
        <w:tab/>
      </w:r>
      <w:r>
        <w:rPr>
          <w:b/>
          <w:bCs/>
          <w:color w:val="000000"/>
          <w:spacing w:val="0"/>
          <w:w w:val="100"/>
          <w:position w:val="0"/>
        </w:rPr>
        <w:t>深入推进注册人制度实施。</w:t>
      </w:r>
      <w:r>
        <w:rPr>
          <w:color w:val="000000"/>
          <w:spacing w:val="0"/>
          <w:w w:val="100"/>
          <w:position w:val="0"/>
        </w:rPr>
        <w:t>同一法人在我省申报境内 已注册第二类医疗器械产品注册，该产品原有注册证尚在有效期, 在产品无实质改变，生产条件符合要求且产品检验合格的前提下, 原注册申报资料齐全且企业承诺申报产品与原注册产品完全一致 的，原则上认可原审批部门的审评审批结论，必要时组织核查， 注册申报资料要求可参照《国家食品药品监督管理局关于境内医 疗器械生产企业跨省新开办企业时办理产品注册及生产许可有关 事宜的公告》（2015年第203号）第三条提交，并在注册证备注栏 中载明原注册证号。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664"/>
        </w:tabs>
        <w:bidi w:val="0"/>
        <w:spacing w:before="0" w:after="0" w:line="559" w:lineRule="exact"/>
        <w:ind w:left="0" w:right="0" w:firstLine="820"/>
        <w:jc w:val="both"/>
      </w:pPr>
      <w:bookmarkStart w:id="10" w:name="bookmark10"/>
      <w:r>
        <w:rPr>
          <w:b/>
          <w:bCs/>
          <w:color w:val="000000"/>
          <w:spacing w:val="0"/>
          <w:w w:val="100"/>
          <w:position w:val="0"/>
        </w:rPr>
        <w:t>（</w:t>
      </w:r>
      <w:bookmarkEnd w:id="10"/>
      <w:r>
        <w:rPr>
          <w:b/>
          <w:bCs/>
          <w:color w:val="000000"/>
          <w:spacing w:val="0"/>
          <w:w w:val="100"/>
          <w:position w:val="0"/>
        </w:rPr>
        <w:t>六）</w:t>
      </w:r>
      <w:r>
        <w:rPr>
          <w:b/>
          <w:bCs/>
          <w:color w:val="000000"/>
          <w:spacing w:val="0"/>
          <w:w w:val="100"/>
          <w:position w:val="0"/>
        </w:rPr>
        <w:tab/>
      </w:r>
      <w:r>
        <w:rPr>
          <w:b/>
          <w:bCs/>
          <w:color w:val="000000"/>
          <w:spacing w:val="0"/>
          <w:w w:val="100"/>
          <w:position w:val="0"/>
        </w:rPr>
        <w:t>简化申报资料。</w:t>
      </w:r>
      <w:r>
        <w:rPr>
          <w:color w:val="000000"/>
          <w:spacing w:val="0"/>
          <w:w w:val="100"/>
          <w:position w:val="0"/>
        </w:rPr>
        <w:t>对省内已上市第三类产品类别调整为 第二类产品、第二类医疗器械产品注册证因特殊原因未在规定时 限内申请延续的，若产品注册证尚在有效期、产品无实质改变、 生产条件持续符合要求且产品检验合格的，可参照延续注册简化注 册申报资料。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664"/>
        </w:tabs>
        <w:bidi w:val="0"/>
        <w:spacing w:before="0" w:after="0" w:line="562" w:lineRule="exact"/>
        <w:ind w:left="0" w:right="0" w:firstLine="820"/>
        <w:jc w:val="both"/>
      </w:pPr>
      <w:bookmarkStart w:id="11" w:name="bookmark11"/>
      <w:r>
        <w:rPr>
          <w:b/>
          <w:bCs/>
          <w:color w:val="000000"/>
          <w:spacing w:val="0"/>
          <w:w w:val="100"/>
          <w:position w:val="0"/>
        </w:rPr>
        <w:t>（</w:t>
      </w:r>
      <w:bookmarkEnd w:id="11"/>
      <w:r>
        <w:rPr>
          <w:b/>
          <w:bCs/>
          <w:color w:val="000000"/>
          <w:spacing w:val="0"/>
          <w:w w:val="100"/>
          <w:position w:val="0"/>
        </w:rPr>
        <w:t>七）</w:t>
      </w:r>
      <w:r>
        <w:rPr>
          <w:b/>
          <w:bCs/>
          <w:color w:val="000000"/>
          <w:spacing w:val="0"/>
          <w:w w:val="100"/>
          <w:position w:val="0"/>
        </w:rPr>
        <w:tab/>
      </w:r>
      <w:r>
        <w:rPr>
          <w:b/>
          <w:bCs/>
          <w:color w:val="000000"/>
          <w:spacing w:val="0"/>
          <w:w w:val="100"/>
          <w:position w:val="0"/>
        </w:rPr>
        <w:t>检验报告和临床评价认可。</w:t>
      </w:r>
      <w:r>
        <w:rPr>
          <w:color w:val="000000"/>
          <w:spacing w:val="0"/>
          <w:w w:val="100"/>
          <w:position w:val="0"/>
        </w:rPr>
        <w:t>执行《条例》相关规定， 产品检验报告应符合药品监管部门的要求，可以是医疗器械注册 申请人、备案人的自检报告，可以是委托有资质的第三方检验检 测机构出具的检验报告；对产品是否符合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“其</w:t>
      </w:r>
      <w:r>
        <w:rPr>
          <w:color w:val="000000"/>
          <w:spacing w:val="0"/>
          <w:w w:val="100"/>
          <w:position w:val="0"/>
        </w:rPr>
        <w:t>他通过非临床评价 能够证明该医疗器械安全、有效的”条款或是否可通过非临床试 验方式进行临床评价的，可根据申报产品的实际情况，由省局组 织专家会商确定是否符合《医疗器械注册管理办法》及《体外诊 断试剂试剂注册管理办法》等有关规定。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660"/>
        <w:jc w:val="both"/>
      </w:pPr>
      <w:r>
        <w:rPr>
          <w:b/>
          <w:bCs/>
          <w:color w:val="000000"/>
          <w:spacing w:val="0"/>
          <w:w w:val="100"/>
          <w:position w:val="0"/>
        </w:rPr>
        <w:t>三、优化审评机制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664"/>
        </w:tabs>
        <w:bidi w:val="0"/>
        <w:spacing w:before="0" w:after="0" w:line="562" w:lineRule="exact"/>
        <w:ind w:left="0" w:right="0" w:firstLine="820"/>
        <w:jc w:val="both"/>
      </w:pPr>
      <w:bookmarkStart w:id="12" w:name="bookmark12"/>
      <w:r>
        <w:rPr>
          <w:b/>
          <w:bCs/>
          <w:color w:val="000000"/>
          <w:spacing w:val="0"/>
          <w:w w:val="100"/>
          <w:position w:val="0"/>
        </w:rPr>
        <w:t>（</w:t>
      </w:r>
      <w:bookmarkEnd w:id="12"/>
      <w:r>
        <w:rPr>
          <w:b/>
          <w:bCs/>
          <w:color w:val="000000"/>
          <w:spacing w:val="0"/>
          <w:w w:val="100"/>
          <w:position w:val="0"/>
        </w:rPr>
        <w:t>八）</w:t>
      </w:r>
      <w:r>
        <w:rPr>
          <w:b/>
          <w:bCs/>
          <w:color w:val="000000"/>
          <w:spacing w:val="0"/>
          <w:w w:val="100"/>
          <w:position w:val="0"/>
        </w:rPr>
        <w:tab/>
      </w:r>
      <w:r>
        <w:rPr>
          <w:b/>
          <w:bCs/>
          <w:color w:val="000000"/>
          <w:spacing w:val="0"/>
          <w:w w:val="100"/>
          <w:position w:val="0"/>
        </w:rPr>
        <w:t>提升审评效能。</w:t>
      </w:r>
      <w:r>
        <w:rPr>
          <w:color w:val="000000"/>
          <w:spacing w:val="0"/>
          <w:w w:val="100"/>
          <w:position w:val="0"/>
        </w:rPr>
        <w:t>通过健全风险研判制度、建立分级审 评机制、实施绩效管理制度、优化审评报告等多措并举，力争实 现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“即</w:t>
      </w:r>
      <w:r>
        <w:rPr>
          <w:color w:val="000000"/>
          <w:spacing w:val="0"/>
          <w:w w:val="100"/>
          <w:position w:val="0"/>
        </w:rPr>
        <w:t>到即审”，平均审评时限缩减至法定时限的50%以上。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844"/>
        </w:tabs>
        <w:bidi w:val="0"/>
        <w:spacing w:before="0" w:after="0" w:line="562" w:lineRule="exact"/>
        <w:ind w:left="0" w:right="0" w:firstLine="820"/>
        <w:jc w:val="both"/>
      </w:pPr>
      <w:bookmarkStart w:id="13" w:name="bookmark13"/>
      <w:r>
        <w:rPr>
          <w:b/>
          <w:bCs/>
          <w:color w:val="000000"/>
          <w:spacing w:val="0"/>
          <w:w w:val="100"/>
          <w:position w:val="0"/>
        </w:rPr>
        <w:t>（</w:t>
      </w:r>
      <w:bookmarkEnd w:id="13"/>
      <w:r>
        <w:rPr>
          <w:b/>
          <w:bCs/>
          <w:color w:val="000000"/>
          <w:spacing w:val="0"/>
          <w:w w:val="100"/>
          <w:position w:val="0"/>
        </w:rPr>
        <w:t>九）</w:t>
      </w:r>
      <w:r>
        <w:rPr>
          <w:b/>
          <w:bCs/>
          <w:color w:val="000000"/>
          <w:spacing w:val="0"/>
          <w:w w:val="100"/>
          <w:position w:val="0"/>
        </w:rPr>
        <w:tab/>
      </w:r>
      <w:r>
        <w:rPr>
          <w:b/>
          <w:bCs/>
          <w:color w:val="000000"/>
          <w:spacing w:val="0"/>
          <w:w w:val="100"/>
          <w:position w:val="0"/>
        </w:rPr>
        <w:t>实施审研结合机制。</w:t>
      </w:r>
      <w:r>
        <w:rPr>
          <w:color w:val="000000"/>
          <w:spacing w:val="0"/>
          <w:w w:val="100"/>
          <w:position w:val="0"/>
        </w:rPr>
        <w:t>针对重点、难点、疑点产品，审 评员根据审评工作需要参与注册体系核查，深入企业现场，将沟 通服务前移，与研发人员交流，开展现场审评，了解产品设计开 发、生产工艺、质量控制等情况，帮助企业尽早完善申报资料， 提升审评针对性和审评效率。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65" w:lineRule="exact"/>
        <w:ind w:left="0" w:right="0" w:firstLine="780"/>
        <w:jc w:val="both"/>
      </w:pPr>
      <w:r>
        <w:rPr>
          <w:color w:val="000000"/>
          <w:spacing w:val="0"/>
          <w:w w:val="100"/>
          <w:position w:val="0"/>
        </w:rPr>
        <w:t>（十）充分发挥专家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“外</w:t>
      </w:r>
      <w:r>
        <w:rPr>
          <w:color w:val="000000"/>
          <w:spacing w:val="0"/>
          <w:w w:val="100"/>
          <w:position w:val="0"/>
        </w:rPr>
        <w:t>脑”作用。遴选更新省医疗器械技 术审评专家库，在省内三甲医疗机构、本科院校、科研院所等单 位征集从事医疗器械临床使用、教学、研究、检测相关工作的权 威专家，建立与审评工作相适应的技术审评外部支撑专家团队， 集聚产学研用等资源，为医疗器械注册审评审批提供技术支撑。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65" w:lineRule="exact"/>
        <w:ind w:left="0" w:right="0" w:firstLine="660"/>
        <w:jc w:val="both"/>
      </w:pPr>
      <w:r>
        <w:rPr>
          <w:b/>
          <w:bCs/>
          <w:color w:val="000000"/>
          <w:spacing w:val="0"/>
          <w:w w:val="100"/>
          <w:position w:val="0"/>
        </w:rPr>
        <w:t>四'优化沟通服务机制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65" w:lineRule="exact"/>
        <w:ind w:left="0" w:right="0" w:firstLine="780"/>
        <w:jc w:val="both"/>
      </w:pPr>
      <w:r>
        <w:rPr>
          <w:b/>
          <w:bCs/>
          <w:color w:val="000000"/>
          <w:spacing w:val="0"/>
          <w:w w:val="100"/>
          <w:position w:val="0"/>
        </w:rPr>
        <w:t>（十一）健全新项目辅导机制。</w:t>
      </w:r>
      <w:r>
        <w:rPr>
          <w:color w:val="000000"/>
          <w:spacing w:val="0"/>
          <w:w w:val="100"/>
          <w:position w:val="0"/>
        </w:rPr>
        <w:t>实施对新企业新项目的服务 和帮扶，产品具有显著临床应用价值、具有一定水准和发展前景 的新办企业，可以在开办之初向省局提出帮扶的具体需求，省局 医疗器械监管处牵头组织专家组对企业进行跟踪辅导，在宣讲法 规的同时，同步在厂房设计、产品开发、质量体系建立、产品检 验等方面予以指导企业，帮助企业少走弯路，促使产品尽快落地。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65" w:lineRule="exact"/>
        <w:ind w:left="0" w:right="0" w:firstLine="780"/>
        <w:jc w:val="both"/>
      </w:pPr>
      <w:r>
        <w:rPr>
          <w:b/>
          <w:bCs/>
          <w:color w:val="000000"/>
          <w:spacing w:val="0"/>
          <w:w w:val="100"/>
          <w:position w:val="0"/>
        </w:rPr>
        <w:t>（十二）建立申报前立卷指导机制。</w:t>
      </w:r>
      <w:r>
        <w:rPr>
          <w:color w:val="000000"/>
          <w:spacing w:val="0"/>
          <w:w w:val="100"/>
          <w:position w:val="0"/>
        </w:rPr>
        <w:t>依企业申请，对列入快 速审批的产品和部分首次注册或复杂变更产品开展申报前立卷指 导服务，在受理前按照相应标准对注册申报资料的完整性进行指 导，使企业的研发及申报资料的撰写能在相关标准或指导原则的 规范下进行，缩短企业申报总时限。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65" w:lineRule="exact"/>
        <w:ind w:left="0" w:right="0" w:firstLine="780"/>
        <w:jc w:val="both"/>
      </w:pPr>
      <w:r>
        <w:rPr>
          <w:b/>
          <w:bCs/>
          <w:color w:val="000000"/>
          <w:spacing w:val="0"/>
          <w:w w:val="100"/>
          <w:position w:val="0"/>
        </w:rPr>
        <w:t>（十三）畅通审评过程的沟通。</w:t>
      </w:r>
      <w:r>
        <w:rPr>
          <w:color w:val="000000"/>
          <w:spacing w:val="0"/>
          <w:w w:val="100"/>
          <w:position w:val="0"/>
        </w:rPr>
        <w:t>拓展咨询服务渠道，通过网 络邮件、电话、现场等多种形式，建立覆盖审评全过程的沟通服 务制度。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64" w:lineRule="exact"/>
        <w:ind w:left="0" w:right="0" w:firstLine="820"/>
        <w:jc w:val="both"/>
      </w:pPr>
      <w:r>
        <w:rPr>
          <w:b/>
          <w:bCs/>
          <w:color w:val="000000"/>
          <w:spacing w:val="0"/>
          <w:w w:val="100"/>
          <w:position w:val="0"/>
        </w:rPr>
        <w:t>（十四）实施补正材料指导。</w:t>
      </w:r>
      <w:r>
        <w:rPr>
          <w:color w:val="000000"/>
          <w:spacing w:val="0"/>
          <w:w w:val="100"/>
          <w:position w:val="0"/>
        </w:rPr>
        <w:t>对于有需要指导帮扶的企业， 在发补后企业补充资料环节，主动、及时联系企业，避免企业对 发补意见理解不到位；在企业补正资料后通过对完整补回资料的 预审查服务，帮助企业一次性提交符合要求的补正资料。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64" w:lineRule="exact"/>
        <w:ind w:left="0" w:right="0" w:firstLine="820"/>
        <w:jc w:val="both"/>
      </w:pPr>
      <w:r>
        <w:rPr>
          <w:b/>
          <w:bCs/>
          <w:color w:val="000000"/>
          <w:spacing w:val="0"/>
          <w:w w:val="100"/>
          <w:position w:val="0"/>
        </w:rPr>
        <w:t>（十五）提供专题培训与服务。</w:t>
      </w:r>
      <w:r>
        <w:rPr>
          <w:color w:val="000000"/>
          <w:spacing w:val="0"/>
          <w:w w:val="100"/>
          <w:position w:val="0"/>
        </w:rPr>
        <w:t>针对注册法规解读、审评共 性问题解答、热点问题的思考和建议等专题，帮助提升企业注册 申报质量，为企业依法依规开展注册申报工作提供切实帮助。开 展现场检查整改报告格式要求制订工作，指导帮助企业提升整改 报告撰写质量。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64" w:lineRule="exact"/>
        <w:ind w:left="0" w:right="0" w:firstLine="660"/>
        <w:jc w:val="both"/>
      </w:pPr>
      <w:r>
        <w:rPr>
          <w:b/>
          <w:bCs/>
          <w:color w:val="000000"/>
          <w:spacing w:val="0"/>
          <w:w w:val="100"/>
          <w:position w:val="0"/>
        </w:rPr>
        <w:t>五、推动产业聚集发展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880" w:line="564" w:lineRule="exact"/>
        <w:ind w:left="0" w:right="0" w:firstLine="820"/>
        <w:jc w:val="both"/>
      </w:pPr>
      <w:r>
        <w:rPr>
          <w:b/>
          <w:bCs/>
          <w:color w:val="000000"/>
          <w:spacing w:val="0"/>
          <w:w w:val="100"/>
          <w:position w:val="0"/>
        </w:rPr>
        <w:t>（十六）推动产业聚集发展。</w:t>
      </w:r>
      <w:r>
        <w:rPr>
          <w:color w:val="000000"/>
          <w:spacing w:val="0"/>
          <w:w w:val="100"/>
          <w:position w:val="0"/>
        </w:rPr>
        <w:t>扶持厦门海沧生物医药港、闽 西医疗器械产业园等省内医疗器械产业相对集中区域高质量建设 与发展，根据园区的实际需求，研究制定医疗器械注册审评审批 优先、生产检验资源共享、闽台医疗器械产业合作等方面促进产 业发展的扶持政策，以带动全省医疗器械产业高质量发展。</w:t>
      </w:r>
    </w:p>
    <w:p>
      <w:pPr>
        <w:widowControl w:val="0"/>
        <w:jc w:val="center"/>
        <w:rPr>
          <w:sz w:val="2"/>
          <w:szCs w:val="2"/>
        </w:rPr>
        <w:sectPr>
          <w:footnotePr>
            <w:numFmt w:val="decimal"/>
          </w:footnotePr>
          <w:type w:val="continuous"/>
          <w:pgSz w:w="11900" w:h="16840"/>
          <w:pgMar w:top="1469" w:right="1371" w:bottom="1626" w:left="1260" w:header="0" w:footer="3" w:gutter="0"/>
          <w:cols w:space="720" w:num="1"/>
          <w:rtlGutter w:val="0"/>
          <w:docGrid w:linePitch="360" w:charSpace="0"/>
        </w:sectPr>
      </w:pPr>
      <w:r>
        <w:drawing>
          <wp:inline distT="0" distB="0" distL="114300" distR="114300">
            <wp:extent cx="2018030" cy="1639570"/>
            <wp:effectExtent l="0" t="0" r="8890" b="635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utre 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8030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sz w:val="2"/>
          <w:szCs w:val="2"/>
        </w:rPr>
      </w:pPr>
      <w:bookmarkStart w:id="14" w:name="_GoBack"/>
      <w:bookmarkEnd w:id="14"/>
    </w:p>
    <w:sectPr>
      <w:footerReference r:id="rId8" w:type="default"/>
      <w:footerReference r:id="rId9" w:type="even"/>
      <w:footnotePr>
        <w:numFmt w:val="decimal"/>
      </w:footnotePr>
      <w:pgSz w:w="11900" w:h="16840"/>
      <w:pgMar w:top="10504" w:right="6919" w:bottom="3587" w:left="2452" w:header="10076" w:footer="3159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6130925</wp:posOffset>
              </wp:positionH>
              <wp:positionV relativeFrom="page">
                <wp:posOffset>10034270</wp:posOffset>
              </wp:positionV>
              <wp:extent cx="478790" cy="1435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#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482.75pt;margin-top:790.1pt;height:11.3pt;width:37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BxSCELZ&#10;AAAADgEAAA8AAAAAAAAAAQAgAAAAIgAAAGRycy9kb3ducmV2LnhtbFBLAQIUABQAAAAIAIdO4kDi&#10;QoAVrQEAAG8DAAAOAAAAAAAAAAEAIAAAACg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#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864235</wp:posOffset>
              </wp:positionH>
              <wp:positionV relativeFrom="page">
                <wp:posOffset>10031095</wp:posOffset>
              </wp:positionV>
              <wp:extent cx="490855" cy="14033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855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#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68.05pt;margin-top:789.85pt;height:11.05pt;width:38.6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BE6fLrZ&#10;AAAADQEAAA8AAAAAAAAAAQAgAAAAIgAAAGRycy9kb3ducmV2LnhtbFBLAQIUABQAAAAIAIdO4kAG&#10;/vWtrQEAAG8DAAAOAAAAAAAAAAEAIAAAACg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#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24866160"/>
    <w:rsid w:val="5A7B5AAD"/>
    <w:rsid w:val="64B060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uiPriority w:val="0"/>
    <w:rPr>
      <w:rFonts w:ascii="宋体" w:hAnsi="宋体" w:eastAsia="宋体" w:cs="宋体"/>
      <w:color w:val="EF4E56"/>
      <w:sz w:val="84"/>
      <w:szCs w:val="84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uiPriority w:val="0"/>
    <w:pPr>
      <w:widowControl w:val="0"/>
      <w:shd w:val="clear" w:color="auto" w:fill="auto"/>
      <w:outlineLvl w:val="0"/>
    </w:pPr>
    <w:rPr>
      <w:rFonts w:ascii="宋体" w:hAnsi="宋体" w:eastAsia="宋体" w:cs="宋体"/>
      <w:color w:val="EF4E56"/>
      <w:sz w:val="84"/>
      <w:szCs w:val="84"/>
      <w:u w:val="none"/>
      <w:shd w:val="clear" w:color="auto" w:fill="auto"/>
      <w:lang w:val="zh-TW" w:eastAsia="zh-TW" w:bidi="zh-TW"/>
    </w:rPr>
  </w:style>
  <w:style w:type="character" w:customStyle="1" w:styleId="6">
    <w:name w:val="Body text|2_"/>
    <w:basedOn w:val="3"/>
    <w:link w:val="7"/>
    <w:uiPriority w:val="0"/>
    <w:rPr>
      <w:b/>
      <w:bCs/>
      <w:sz w:val="30"/>
      <w:szCs w:val="30"/>
      <w:u w:val="none"/>
      <w:shd w:val="clear" w:color="auto" w:fill="FFFFFF"/>
    </w:rPr>
  </w:style>
  <w:style w:type="paragraph" w:customStyle="1" w:styleId="7">
    <w:name w:val="Body text|2"/>
    <w:basedOn w:val="1"/>
    <w:link w:val="6"/>
    <w:uiPriority w:val="0"/>
    <w:pPr>
      <w:widowControl w:val="0"/>
      <w:shd w:val="clear" w:color="auto" w:fill="auto"/>
      <w:jc w:val="center"/>
    </w:pPr>
    <w:rPr>
      <w:b/>
      <w:bCs/>
      <w:sz w:val="30"/>
      <w:szCs w:val="30"/>
      <w:u w:val="none"/>
      <w:shd w:val="clear" w:color="auto" w:fill="FFFFFF"/>
    </w:rPr>
  </w:style>
  <w:style w:type="character" w:customStyle="1" w:styleId="8">
    <w:name w:val="Body text|1_"/>
    <w:basedOn w:val="3"/>
    <w:link w:val="9"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uiPriority w:val="0"/>
    <w:pPr>
      <w:widowControl w:val="0"/>
      <w:shd w:val="clear" w:color="auto" w:fill="auto"/>
      <w:spacing w:line="39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0">
    <w:name w:val="Heading #2|1_"/>
    <w:basedOn w:val="3"/>
    <w:link w:val="11"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1">
    <w:name w:val="Heading #2|1"/>
    <w:basedOn w:val="1"/>
    <w:link w:val="10"/>
    <w:uiPriority w:val="0"/>
    <w:pPr>
      <w:widowControl w:val="0"/>
      <w:shd w:val="clear" w:color="auto" w:fill="auto"/>
      <w:spacing w:after="500" w:line="562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12">
    <w:name w:val="Header or footer|2_"/>
    <w:basedOn w:val="3"/>
    <w:link w:val="13"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3">
    <w:name w:val="Header or footer|2"/>
    <w:basedOn w:val="1"/>
    <w:link w:val="12"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Office_11.1.0.10495_F1E327BC-269C-435d-A152-05C5408002CA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2021-05-26T09:38:09Z</dcterms:created>
  <dc:creator>admin</dc:creator>
  <cp:lastModifiedBy>小邱ᵀᴱᴸ₁₈₀₆₀₉₅₆₅₂₀</cp:lastModifiedBy>
  <dcterms:modified xsi:type="dcterms:W3CDTF">2021-05-26T09:39:17Z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7595CD5303094C04A6A1E4566B683B14</vt:lpwstr>
  </property>
</Properties>
</file>